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985A" w14:textId="3CEE7BBA" w:rsidR="005A0F71" w:rsidRPr="008B1FD8" w:rsidRDefault="00AD664B" w:rsidP="005A0F71">
      <w:pPr>
        <w:spacing w:after="0"/>
        <w:jc w:val="center"/>
        <w:rPr>
          <w:b/>
          <w:sz w:val="48"/>
          <w:szCs w:val="48"/>
        </w:rPr>
      </w:pPr>
      <w:r w:rsidRPr="008B1FD8">
        <w:rPr>
          <w:b/>
          <w:sz w:val="48"/>
          <w:szCs w:val="48"/>
        </w:rPr>
        <w:t xml:space="preserve">This </w:t>
      </w:r>
      <w:r w:rsidR="005A0F71" w:rsidRPr="008B1FD8">
        <w:rPr>
          <w:b/>
          <w:sz w:val="48"/>
          <w:szCs w:val="48"/>
        </w:rPr>
        <w:t>2022 proposed L</w:t>
      </w:r>
      <w:r w:rsidRPr="008B1FD8">
        <w:rPr>
          <w:b/>
          <w:sz w:val="48"/>
          <w:szCs w:val="48"/>
        </w:rPr>
        <w:t xml:space="preserve">ong </w:t>
      </w:r>
      <w:r w:rsidR="005A0F71" w:rsidRPr="008B1FD8">
        <w:rPr>
          <w:b/>
          <w:sz w:val="48"/>
          <w:szCs w:val="48"/>
        </w:rPr>
        <w:t>Range U</w:t>
      </w:r>
      <w:r w:rsidRPr="008B1FD8">
        <w:rPr>
          <w:b/>
          <w:sz w:val="48"/>
          <w:szCs w:val="48"/>
        </w:rPr>
        <w:t>se map</w:t>
      </w:r>
    </w:p>
    <w:p w14:paraId="5DBB2EDC" w14:textId="54C6A0ED" w:rsidR="005A0F71" w:rsidRPr="008B1FD8" w:rsidRDefault="00AD664B" w:rsidP="005A0F71">
      <w:pPr>
        <w:spacing w:after="0"/>
        <w:jc w:val="center"/>
        <w:rPr>
          <w:b/>
          <w:sz w:val="48"/>
          <w:szCs w:val="48"/>
        </w:rPr>
      </w:pPr>
      <w:r w:rsidRPr="008B1FD8">
        <w:rPr>
          <w:b/>
          <w:sz w:val="48"/>
          <w:szCs w:val="48"/>
        </w:rPr>
        <w:t>DOES NOT MATCH</w:t>
      </w:r>
    </w:p>
    <w:p w14:paraId="26A79F61" w14:textId="3B8BDDBA" w:rsidR="005A0F71" w:rsidRPr="008B1FD8" w:rsidRDefault="00AD664B" w:rsidP="005A0F71">
      <w:pPr>
        <w:spacing w:after="0"/>
        <w:jc w:val="center"/>
        <w:rPr>
          <w:b/>
          <w:sz w:val="48"/>
          <w:szCs w:val="48"/>
        </w:rPr>
      </w:pPr>
      <w:r w:rsidRPr="008B1FD8">
        <w:rPr>
          <w:b/>
          <w:sz w:val="48"/>
          <w:szCs w:val="48"/>
        </w:rPr>
        <w:t xml:space="preserve">the 2021 </w:t>
      </w:r>
      <w:r w:rsidR="005A0F71" w:rsidRPr="008B1FD8">
        <w:rPr>
          <w:b/>
          <w:sz w:val="48"/>
          <w:szCs w:val="48"/>
        </w:rPr>
        <w:t xml:space="preserve">interests from the </w:t>
      </w:r>
      <w:r w:rsidRPr="008B1FD8">
        <w:rPr>
          <w:b/>
          <w:sz w:val="48"/>
          <w:szCs w:val="48"/>
        </w:rPr>
        <w:t>Citizen Survey</w:t>
      </w:r>
    </w:p>
    <w:p w14:paraId="1626882B" w14:textId="554B933A" w:rsidR="002D7AC7" w:rsidRDefault="005A0F71" w:rsidP="005A0F71">
      <w:pPr>
        <w:spacing w:after="0"/>
        <w:jc w:val="center"/>
        <w:rPr>
          <w:b/>
          <w:sz w:val="48"/>
          <w:szCs w:val="48"/>
        </w:rPr>
      </w:pPr>
      <w:r w:rsidRPr="008B1FD8">
        <w:rPr>
          <w:b/>
          <w:sz w:val="48"/>
          <w:szCs w:val="48"/>
        </w:rPr>
        <w:t xml:space="preserve">conducted </w:t>
      </w:r>
      <w:r w:rsidR="00AD664B" w:rsidRPr="008B1FD8">
        <w:rPr>
          <w:b/>
          <w:sz w:val="48"/>
          <w:szCs w:val="48"/>
        </w:rPr>
        <w:t xml:space="preserve">by Prince William Planning </w:t>
      </w:r>
      <w:r w:rsidRPr="008B1FD8">
        <w:rPr>
          <w:b/>
          <w:sz w:val="48"/>
          <w:szCs w:val="48"/>
        </w:rPr>
        <w:t>Office</w:t>
      </w:r>
    </w:p>
    <w:p w14:paraId="4F5BFD86" w14:textId="77777777" w:rsidR="005567AC" w:rsidRPr="008B1FD8" w:rsidRDefault="005567AC" w:rsidP="005A0F71">
      <w:pPr>
        <w:spacing w:after="0"/>
        <w:jc w:val="center"/>
        <w:rPr>
          <w:b/>
          <w:sz w:val="48"/>
          <w:szCs w:val="48"/>
        </w:rPr>
      </w:pPr>
    </w:p>
    <w:p w14:paraId="58B5C1C4" w14:textId="4FD75F7C" w:rsidR="00AD664B" w:rsidRDefault="00AD664B"/>
    <w:p w14:paraId="7FF85003" w14:textId="08A7CEB6" w:rsidR="003675BB" w:rsidRDefault="00AD664B">
      <w:pPr>
        <w:rPr>
          <w:sz w:val="36"/>
          <w:szCs w:val="36"/>
        </w:rPr>
      </w:pPr>
      <w:r w:rsidRPr="00615107">
        <w:rPr>
          <w:sz w:val="36"/>
          <w:szCs w:val="36"/>
        </w:rPr>
        <w:t>Industrial Corridors, Villages and Hamlets at the edges of the Rural Crescent create high</w:t>
      </w:r>
      <w:r w:rsidR="005A0F71">
        <w:rPr>
          <w:sz w:val="36"/>
          <w:szCs w:val="36"/>
        </w:rPr>
        <w:t>-</w:t>
      </w:r>
      <w:r w:rsidRPr="00615107">
        <w:rPr>
          <w:sz w:val="36"/>
          <w:szCs w:val="36"/>
        </w:rPr>
        <w:t>density housing and mixed-use development</w:t>
      </w:r>
      <w:r w:rsidR="00615107" w:rsidRPr="00615107">
        <w:rPr>
          <w:sz w:val="36"/>
          <w:szCs w:val="36"/>
        </w:rPr>
        <w:t xml:space="preserve"> with mini strip malls</w:t>
      </w:r>
      <w:r w:rsidRPr="00615107">
        <w:rPr>
          <w:sz w:val="36"/>
          <w:szCs w:val="36"/>
        </w:rPr>
        <w:t xml:space="preserve">.  </w:t>
      </w:r>
    </w:p>
    <w:p w14:paraId="28B1CAE0" w14:textId="77777777" w:rsidR="00BF4FE8" w:rsidRDefault="00BF4FE8">
      <w:pPr>
        <w:rPr>
          <w:sz w:val="36"/>
          <w:szCs w:val="36"/>
        </w:rPr>
      </w:pPr>
      <w:bookmarkStart w:id="0" w:name="_GoBack"/>
      <w:bookmarkEnd w:id="0"/>
    </w:p>
    <w:p w14:paraId="1476E560" w14:textId="6A810C83" w:rsidR="00AD664B" w:rsidRDefault="00AD664B">
      <w:pPr>
        <w:rPr>
          <w:sz w:val="36"/>
          <w:szCs w:val="36"/>
        </w:rPr>
      </w:pPr>
      <w:r w:rsidRPr="00615107">
        <w:rPr>
          <w:sz w:val="36"/>
          <w:szCs w:val="36"/>
        </w:rPr>
        <w:t>Infill will move into the remaining Agricultural Zoning, incentivizing development everywhere</w:t>
      </w:r>
      <w:r w:rsidR="00615107" w:rsidRPr="00615107">
        <w:rPr>
          <w:sz w:val="36"/>
          <w:szCs w:val="36"/>
        </w:rPr>
        <w:t xml:space="preserve"> and making protecting rural spaces difficult due to the inc</w:t>
      </w:r>
      <w:r w:rsidR="005A0F71">
        <w:rPr>
          <w:sz w:val="36"/>
          <w:szCs w:val="36"/>
        </w:rPr>
        <w:t xml:space="preserve">ompatibility </w:t>
      </w:r>
      <w:r w:rsidR="00615107" w:rsidRPr="00615107">
        <w:rPr>
          <w:sz w:val="36"/>
          <w:szCs w:val="36"/>
        </w:rPr>
        <w:t>of uses.</w:t>
      </w:r>
    </w:p>
    <w:p w14:paraId="2B551D37" w14:textId="77777777" w:rsidR="005A0F71" w:rsidRPr="00615107" w:rsidRDefault="005A0F71">
      <w:pPr>
        <w:rPr>
          <w:sz w:val="36"/>
          <w:szCs w:val="36"/>
        </w:rPr>
      </w:pPr>
    </w:p>
    <w:sectPr w:rsidR="005A0F71" w:rsidRPr="0061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B"/>
    <w:rsid w:val="002D7AC7"/>
    <w:rsid w:val="003675BB"/>
    <w:rsid w:val="004D1F11"/>
    <w:rsid w:val="005007BB"/>
    <w:rsid w:val="005567AC"/>
    <w:rsid w:val="005A0F71"/>
    <w:rsid w:val="00615107"/>
    <w:rsid w:val="006C1EA8"/>
    <w:rsid w:val="007A4CC9"/>
    <w:rsid w:val="008B1FD8"/>
    <w:rsid w:val="009D5C03"/>
    <w:rsid w:val="00AD664B"/>
    <w:rsid w:val="00B523C2"/>
    <w:rsid w:val="00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01BD"/>
  <w15:chartTrackingRefBased/>
  <w15:docId w15:val="{F5DB71F2-4818-4B57-9896-8774C84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Karen Sheehan</cp:lastModifiedBy>
  <cp:revision>5</cp:revision>
  <cp:lastPrinted>2022-04-27T20:44:00Z</cp:lastPrinted>
  <dcterms:created xsi:type="dcterms:W3CDTF">2022-04-27T15:12:00Z</dcterms:created>
  <dcterms:modified xsi:type="dcterms:W3CDTF">2022-04-27T22:19:00Z</dcterms:modified>
</cp:coreProperties>
</file>